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10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69"/>
        <w:gridCol w:w="10313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1" w:type="dxa"/>
            <w:vMerge w:val="restart"/>
            <w:vAlign w:val="center"/>
          </w:tcPr>
          <w:p>
            <w:pPr>
              <w:spacing w:before="120"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过程与活动、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抽样计划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涉及</w:t>
            </w:r>
          </w:p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条款</w:t>
            </w:r>
          </w:p>
        </w:tc>
        <w:tc>
          <w:tcPr>
            <w:tcW w:w="10313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受审核部门：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营销部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主管领导：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李向阳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陪同人员：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罗锦霞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0313" w:type="dxa"/>
            <w:vAlign w:val="center"/>
          </w:tcPr>
          <w:p>
            <w:pPr>
              <w:spacing w:before="120" w:line="360" w:lineRule="auto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审核员：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李俐、宋明珠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审核时间：20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76" w:type="dxa"/>
            <w:vMerge w:val="continue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0313" w:type="dxa"/>
            <w:vAlign w:val="center"/>
          </w:tcPr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审核条款：</w:t>
            </w:r>
          </w:p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textAlignment w:val="baseline"/>
            </w:pPr>
            <w:r>
              <w:rPr>
                <w:rFonts w:hint="eastAsia"/>
              </w:rPr>
              <w:t>Q5.3/6.2/；E5.3/6.2/；O5.3/6.2/6.1.2/6.2/8.1/8.2</w:t>
            </w:r>
          </w:p>
        </w:tc>
        <w:tc>
          <w:tcPr>
            <w:tcW w:w="1276" w:type="dxa"/>
            <w:vMerge w:val="continue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岗位职责和权限</w:t>
            </w:r>
          </w:p>
          <w:p>
            <w:pPr>
              <w:spacing w:line="360" w:lineRule="auto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QE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O：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5.3</w:t>
            </w:r>
          </w:p>
          <w:p>
            <w:pPr>
              <w:spacing w:line="360" w:lineRule="auto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0313" w:type="dxa"/>
          </w:tcPr>
          <w:p>
            <w:pPr>
              <w:snapToGrid w:val="0"/>
              <w:spacing w:line="360" w:lineRule="auto"/>
              <w:rPr>
                <w:rFonts w:ascii="宋体" w:hAnsi="宋体" w:cs="新宋体"/>
                <w:szCs w:val="21"/>
              </w:rPr>
            </w:pPr>
            <w:r>
              <w:rPr>
                <w:rFonts w:hint="eastAsia" w:ascii="宋体" w:hAnsi="宋体" w:cs="新宋体"/>
                <w:szCs w:val="21"/>
              </w:rPr>
              <w:t>部门负责人：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李向阳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宋体" w:hAnsi="宋体" w:cs="新宋体"/>
                <w:szCs w:val="21"/>
              </w:rPr>
              <w:t xml:space="preserve">  </w:t>
            </w:r>
          </w:p>
          <w:p>
            <w:pPr>
              <w:snapToGrid w:val="0"/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新宋体"/>
                <w:szCs w:val="21"/>
              </w:rPr>
              <w:t>询问主要职责：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1)收集、汇总、分析各行业、客户、竞争对手及目标市场相关资料信息，及时、准确地了解外部环境的变化，支撑营销战略实施及相关环境、职业健康安全管理活动的实施与执行。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2)负责组织顾客要求的评审，与用户签订产品销售合同，组织计价核价，回收款项。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3)组织开展产品报价与分析工作，为提高产品的市场竞争力提供基础信息。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4)收集保存客户相关资料，建立并完善客户档案。做好对顾客财产的管理工作。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5)组织进行供方及外包方的选择、评价，确保选择合适的供应商及外包方；定期对供方及外包方的供货质量进行考核、评价，以满足采购控制要求。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6)负责汇总编制采购信息，明确采购内容；负责与供方及外包方签订采购/委托合同。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7)负责公司销售产品的交付，并定期进行顾客回访，进行售后服务；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8)负责调查顾客满意度信息，并组织进行统计分析。了解客户需求并及时反馈给相关部门。</w:t>
            </w:r>
          </w:p>
          <w:p>
            <w:pPr>
              <w:spacing w:line="360" w:lineRule="auto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新宋体"/>
                <w:szCs w:val="21"/>
              </w:rPr>
              <w:t>部门职责清晰、明确。</w:t>
            </w:r>
            <w:r>
              <w:rPr>
                <w:rFonts w:hint="eastAsia" w:ascii="宋体" w:hAnsi="宋体" w:cs="新宋体"/>
                <w:szCs w:val="21"/>
                <w:lang w:eastAsia="zh-CN"/>
              </w:rPr>
              <w:t>营销部</w:t>
            </w:r>
            <w:r>
              <w:rPr>
                <w:rFonts w:hint="eastAsia" w:ascii="宋体" w:hAnsi="宋体" w:cs="新宋体"/>
                <w:szCs w:val="21"/>
              </w:rPr>
              <w:t>负责人能基本阐述本部门的主要职责。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目标及其实现的策划</w:t>
            </w:r>
          </w:p>
        </w:tc>
        <w:tc>
          <w:tcPr>
            <w:tcW w:w="1169" w:type="dxa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pStyle w:val="2"/>
            </w:pPr>
          </w:p>
          <w:p>
            <w:pPr>
              <w:spacing w:line="360" w:lineRule="auto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QE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O：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6.2</w:t>
            </w:r>
          </w:p>
        </w:tc>
        <w:tc>
          <w:tcPr>
            <w:tcW w:w="10313" w:type="dxa"/>
          </w:tcPr>
          <w:p>
            <w:pPr>
              <w:autoSpaceDE w:val="0"/>
              <w:autoSpaceDN w:val="0"/>
              <w:spacing w:line="360" w:lineRule="auto"/>
              <w:jc w:val="left"/>
            </w:pPr>
            <w:r>
              <w:rPr>
                <w:rFonts w:hint="eastAsia"/>
                <w:lang w:eastAsia="zh-CN"/>
              </w:rPr>
              <w:t>营销部</w:t>
            </w:r>
            <w:r>
              <w:rPr>
                <w:rFonts w:hint="eastAsia"/>
              </w:rPr>
              <w:t>的目标是：</w:t>
            </w:r>
          </w:p>
          <w:tbl>
            <w:tblPr>
              <w:tblStyle w:val="10"/>
              <w:tblW w:w="0" w:type="auto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19"/>
              <w:gridCol w:w="2570"/>
              <w:gridCol w:w="690"/>
              <w:gridCol w:w="2348"/>
              <w:gridCol w:w="7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19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hint="eastAsia" w:ascii="Arial" w:hAnsi="宋体" w:cs="Arial"/>
                      <w:sz w:val="24"/>
                      <w:lang w:val="en-US" w:eastAsia="zh-CN"/>
                    </w:rPr>
                    <w:t>营销</w:t>
                  </w:r>
                  <w:r>
                    <w:rPr>
                      <w:rFonts w:ascii="Arial" w:hAnsi="宋体" w:cs="Arial"/>
                      <w:sz w:val="24"/>
                    </w:rPr>
                    <w:t>部目标</w:t>
                  </w:r>
                </w:p>
              </w:tc>
              <w:tc>
                <w:tcPr>
                  <w:tcW w:w="2570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统计方式</w:t>
                  </w:r>
                </w:p>
              </w:tc>
              <w:tc>
                <w:tcPr>
                  <w:tcW w:w="690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周期</w:t>
                  </w:r>
                </w:p>
              </w:tc>
              <w:tc>
                <w:tcPr>
                  <w:tcW w:w="2348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完成情况</w:t>
                  </w:r>
                </w:p>
              </w:tc>
              <w:tc>
                <w:tcPr>
                  <w:tcW w:w="772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宋体" w:cs="Arial"/>
                      <w:sz w:val="24"/>
                    </w:rPr>
                    <w:t>考核情况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19" w:type="dxa"/>
                  <w:noWrap w:val="0"/>
                  <w:vAlign w:val="top"/>
                </w:tcPr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1.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eastAsia="zh-CN"/>
                    </w:rPr>
                    <w:t>客户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满意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eastAsia="zh-CN"/>
                    </w:rPr>
                    <w:t>度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90分以上</w:t>
                  </w:r>
                  <w:r>
                    <w:rPr>
                      <w:rFonts w:ascii="Arial" w:hAnsi="宋体" w:cs="Arial"/>
                      <w:sz w:val="21"/>
                      <w:szCs w:val="21"/>
                    </w:rPr>
                    <w:t>；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2.</w:t>
                  </w:r>
                  <w:r>
                    <w:rPr>
                      <w:rFonts w:ascii="Arial" w:hAnsi="宋体" w:cs="Arial"/>
                      <w:sz w:val="21"/>
                      <w:szCs w:val="21"/>
                    </w:rPr>
                    <w:t>客户反馈处理率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火灾、触电事故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为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0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570" w:type="dxa"/>
                  <w:noWrap w:val="0"/>
                  <w:vAlign w:val="top"/>
                </w:tcPr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Arial" w:cs="Arial"/>
                      <w:szCs w:val="21"/>
                    </w:rPr>
                    <w:t>1.</w:t>
                  </w:r>
                  <w:r>
                    <w:rPr>
                      <w:rFonts w:ascii="Arial" w:hAnsi="宋体" w:cs="Arial"/>
                      <w:szCs w:val="21"/>
                    </w:rPr>
                    <w:t>（得分</w:t>
                  </w:r>
                  <w:r>
                    <w:rPr>
                      <w:rFonts w:ascii="Arial" w:hAnsi="Arial" w:cs="Arial"/>
                      <w:szCs w:val="21"/>
                    </w:rPr>
                    <w:t>×</w:t>
                  </w:r>
                  <w:r>
                    <w:rPr>
                      <w:rFonts w:ascii="Arial" w:hAnsi="宋体" w:cs="Arial"/>
                      <w:szCs w:val="21"/>
                    </w:rPr>
                    <w:t>质量加权</w:t>
                  </w:r>
                  <w:r>
                    <w:rPr>
                      <w:rFonts w:ascii="Arial" w:hAnsi="Arial" w:cs="Arial"/>
                      <w:szCs w:val="21"/>
                    </w:rPr>
                    <w:t>+</w:t>
                  </w:r>
                  <w:r>
                    <w:rPr>
                      <w:rFonts w:ascii="Arial" w:hAnsi="宋体" w:cs="Arial"/>
                      <w:szCs w:val="21"/>
                    </w:rPr>
                    <w:t>得分</w:t>
                  </w:r>
                  <w:r>
                    <w:rPr>
                      <w:rFonts w:ascii="Arial" w:hAnsi="Arial" w:cs="Arial"/>
                      <w:szCs w:val="21"/>
                    </w:rPr>
                    <w:t>×</w:t>
                  </w:r>
                  <w:r>
                    <w:rPr>
                      <w:rFonts w:ascii="Arial" w:hAnsi="宋体" w:cs="Arial"/>
                      <w:szCs w:val="21"/>
                    </w:rPr>
                    <w:t>价格加权</w:t>
                  </w:r>
                  <w:r>
                    <w:rPr>
                      <w:rFonts w:ascii="Arial" w:hAnsi="Arial" w:cs="Arial"/>
                      <w:szCs w:val="21"/>
                    </w:rPr>
                    <w:t>+</w:t>
                  </w:r>
                  <w:r>
                    <w:rPr>
                      <w:rFonts w:ascii="Arial" w:hAnsi="宋体" w:cs="Arial"/>
                      <w:szCs w:val="21"/>
                    </w:rPr>
                    <w:t>得分</w:t>
                  </w:r>
                  <w:r>
                    <w:rPr>
                      <w:rFonts w:ascii="Arial" w:hAnsi="Arial" w:cs="Arial"/>
                      <w:szCs w:val="21"/>
                    </w:rPr>
                    <w:t>×</w:t>
                  </w:r>
                  <w:r>
                    <w:rPr>
                      <w:rFonts w:ascii="Arial" w:hAnsi="宋体" w:cs="Arial"/>
                      <w:szCs w:val="21"/>
                    </w:rPr>
                    <w:t>交付加权</w:t>
                  </w:r>
                  <w:r>
                    <w:rPr>
                      <w:rFonts w:ascii="Arial" w:hAnsi="Arial" w:cs="Arial"/>
                      <w:szCs w:val="21"/>
                    </w:rPr>
                    <w:t>+</w:t>
                  </w:r>
                  <w:r>
                    <w:rPr>
                      <w:rFonts w:ascii="Arial" w:hAnsi="宋体" w:cs="Arial"/>
                      <w:szCs w:val="21"/>
                    </w:rPr>
                    <w:t>得分</w:t>
                  </w:r>
                  <w:r>
                    <w:rPr>
                      <w:rFonts w:ascii="Arial" w:hAnsi="Arial" w:cs="Arial"/>
                      <w:szCs w:val="21"/>
                    </w:rPr>
                    <w:t>×</w:t>
                  </w:r>
                  <w:r>
                    <w:rPr>
                      <w:rFonts w:ascii="Arial" w:hAnsi="宋体" w:cs="Arial"/>
                      <w:szCs w:val="21"/>
                    </w:rPr>
                    <w:t>服务加权）</w:t>
                  </w:r>
                  <w:r>
                    <w:rPr>
                      <w:rFonts w:ascii="Arial" w:hAnsi="Arial" w:cs="Arial"/>
                      <w:szCs w:val="21"/>
                    </w:rPr>
                    <w:t>/</w:t>
                  </w:r>
                  <w:r>
                    <w:rPr>
                      <w:rFonts w:ascii="Arial" w:hAnsi="宋体" w:cs="Arial"/>
                      <w:szCs w:val="21"/>
                    </w:rPr>
                    <w:t>加权总数</w:t>
                  </w:r>
                  <w:r>
                    <w:rPr>
                      <w:rFonts w:ascii="Arial" w:hAnsi="Arial" w:cs="Arial"/>
                      <w:szCs w:val="21"/>
                    </w:rPr>
                    <w:t>×100%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Arial" w:cs="Arial"/>
                      <w:szCs w:val="21"/>
                    </w:rPr>
                    <w:t>2.</w:t>
                  </w:r>
                  <w:r>
                    <w:rPr>
                      <w:rFonts w:ascii="Arial" w:hAnsi="宋体" w:cs="Arial"/>
                      <w:szCs w:val="21"/>
                    </w:rPr>
                    <w:t>客户反馈问题处理次数</w:t>
                  </w:r>
                  <w:r>
                    <w:rPr>
                      <w:rFonts w:ascii="Arial" w:hAnsi="Arial" w:cs="Arial"/>
                      <w:szCs w:val="21"/>
                    </w:rPr>
                    <w:t>/</w:t>
                  </w:r>
                  <w:r>
                    <w:rPr>
                      <w:rFonts w:ascii="Arial" w:hAnsi="宋体" w:cs="Arial"/>
                      <w:szCs w:val="21"/>
                    </w:rPr>
                    <w:t>客户反馈问题总数</w:t>
                  </w:r>
                  <w:r>
                    <w:rPr>
                      <w:rFonts w:ascii="Arial" w:hAnsi="Arial" w:cs="Arial"/>
                      <w:szCs w:val="21"/>
                    </w:rPr>
                    <w:t>×100%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Arial" w:cs="Arial"/>
                      <w:szCs w:val="21"/>
                    </w:rPr>
                    <w:t>3</w:t>
                  </w:r>
                  <w:r>
                    <w:rPr>
                      <w:rFonts w:hint="eastAsia" w:ascii="Arial" w:hAnsi="Arial" w:cs="Arial"/>
                      <w:szCs w:val="21"/>
                      <w:lang w:val="en-US" w:eastAsia="zh-CN"/>
                    </w:rPr>
                    <w:t>：为</w:t>
                  </w:r>
                  <w:r>
                    <w:rPr>
                      <w:rFonts w:ascii="Arial" w:hAnsi="宋体" w:cs="Arial"/>
                      <w:szCs w:val="21"/>
                    </w:rPr>
                    <w:t>实际发生次数</w:t>
                  </w:r>
                </w:p>
              </w:tc>
              <w:tc>
                <w:tcPr>
                  <w:tcW w:w="690" w:type="dxa"/>
                  <w:noWrap w:val="0"/>
                  <w:vAlign w:val="top"/>
                </w:tcPr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宋体" w:cs="Arial"/>
                      <w:szCs w:val="21"/>
                    </w:rPr>
                    <w:t>半年</w:t>
                  </w:r>
                </w:p>
              </w:tc>
              <w:tc>
                <w:tcPr>
                  <w:tcW w:w="2348" w:type="dxa"/>
                  <w:noWrap w:val="0"/>
                  <w:vAlign w:val="top"/>
                </w:tcPr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.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eastAsia="zh-CN"/>
                    </w:rPr>
                    <w:t>客户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满意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eastAsia="zh-CN"/>
                    </w:rPr>
                    <w:t>度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98.7分</w:t>
                  </w:r>
                  <w:r>
                    <w:rPr>
                      <w:rFonts w:ascii="Arial" w:hAnsi="宋体" w:cs="Arial"/>
                      <w:sz w:val="21"/>
                      <w:szCs w:val="21"/>
                    </w:rPr>
                    <w:t>；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2.</w:t>
                  </w:r>
                  <w:r>
                    <w:rPr>
                      <w:rFonts w:ascii="Arial" w:hAnsi="宋体" w:cs="Arial"/>
                      <w:sz w:val="21"/>
                      <w:szCs w:val="21"/>
                    </w:rPr>
                    <w:t>客户反馈处理率</w:t>
                  </w:r>
                  <w:r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火灾、触电事故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为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0</w:t>
                  </w:r>
                </w:p>
                <w:p>
                  <w:pPr>
                    <w:tabs>
                      <w:tab w:val="left" w:pos="5620"/>
                    </w:tabs>
                    <w:jc w:val="left"/>
                    <w:outlineLvl w:val="0"/>
                    <w:rPr>
                      <w:rFonts w:ascii="Arial" w:hAnsi="Arial" w:cs="Arial"/>
                      <w:szCs w:val="21"/>
                    </w:rPr>
                  </w:pPr>
                </w:p>
              </w:tc>
              <w:tc>
                <w:tcPr>
                  <w:tcW w:w="772" w:type="dxa"/>
                  <w:noWrap w:val="0"/>
                  <w:vAlign w:val="top"/>
                </w:tcPr>
                <w:p>
                  <w:pPr>
                    <w:jc w:val="center"/>
                    <w:rPr>
                      <w:rFonts w:ascii="Arial" w:hAnsi="Arial" w:cs="Arial"/>
                      <w:szCs w:val="21"/>
                    </w:rPr>
                  </w:pPr>
                  <w:r>
                    <w:rPr>
                      <w:rFonts w:ascii="Arial" w:hAnsi="宋体" w:cs="Arial"/>
                      <w:szCs w:val="21"/>
                    </w:rPr>
                    <w:t>合格</w:t>
                  </w:r>
                </w:p>
              </w:tc>
            </w:tr>
          </w:tbl>
          <w:p>
            <w:pPr>
              <w:tabs>
                <w:tab w:val="center" w:pos="3169"/>
              </w:tabs>
              <w:spacing w:line="360" w:lineRule="auto"/>
              <w:jc w:val="left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/>
                <w:szCs w:val="22"/>
              </w:rPr>
              <w:t>考核情况：经查已完成。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与产品有关要求的更改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Q8.2.4</w:t>
            </w:r>
            <w:r>
              <w:rPr>
                <w:rFonts w:ascii="楷体" w:hAnsi="楷体" w:eastAsia="楷体" w:cs="Arial"/>
                <w:sz w:val="24"/>
                <w:szCs w:val="24"/>
              </w:rPr>
              <w:t xml:space="preserve"> </w:t>
            </w:r>
          </w:p>
        </w:tc>
        <w:tc>
          <w:tcPr>
            <w:tcW w:w="10313" w:type="dxa"/>
            <w:vAlign w:val="top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管理手册对产品和服务要求的识别和更改进行了策划和规定；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  经过查阅企业订单文件，并与业务开发部负责人进行沟通，目前暂无产品和订单变更的情况；后续经营中，如出现有产品和订单要求的变更，将按照文件规定要求进行控制。</w:t>
            </w:r>
          </w:p>
          <w:p>
            <w:pPr>
              <w:spacing w:line="360" w:lineRule="auto"/>
              <w:rPr>
                <w:rFonts w:hint="eastAsia" w:ascii="楷体" w:hAnsi="楷体" w:eastAsia="楷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基本符合要求。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51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外部提供过程、服务和服务的控制</w:t>
            </w:r>
          </w:p>
          <w:p>
            <w:pPr>
              <w:spacing w:line="360" w:lineRule="auto"/>
              <w:rPr>
                <w:rFonts w:hint="eastAsia" w:ascii="楷体" w:hAnsi="楷体" w:eastAsia="楷体" w:cs="Times New Roman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Q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8.4</w:t>
            </w:r>
          </w:p>
          <w:p>
            <w:pPr>
              <w:spacing w:line="360" w:lineRule="auto"/>
              <w:rPr>
                <w:rFonts w:hint="eastAsia" w:ascii="楷体" w:hAnsi="楷体" w:eastAsia="楷体" w:cs="Times New Roman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13" w:type="dxa"/>
            <w:vAlign w:val="center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外部提供的服务主要是公司计量标准器、和配套设备的溯源，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公司采购产品主要为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计量配套设备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标准物质、酒精、润滑油、手套、棉纱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等，暂无外包过程。</w:t>
            </w:r>
          </w:p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查到到《合格供方名录》，主要有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国家计量科学研究院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国家测试技术研究所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成都博远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新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锐科技有限责任公司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山东非金属材料研究所、陕西省计量科学研究院、中国航天动力股份有限公司计量中心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等。编制：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李楠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，审批：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周东福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 xml:space="preserve">。  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提供《合格服务和供应商名册》</w:t>
            </w:r>
          </w:p>
          <w:p>
            <w:pPr>
              <w:pStyle w:val="2"/>
              <w:rPr>
                <w:rFonts w:hint="eastAsia" w:ascii="楷体" w:hAnsi="楷体" w:eastAsia="楷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6186805" cy="2352675"/>
                  <wp:effectExtent l="0" t="0" r="4445" b="9525"/>
                  <wp:docPr id="29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6805" cy="235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抽查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服务和供应商评价表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：</w:t>
            </w:r>
          </w:p>
          <w:p>
            <w:pPr>
              <w:pStyle w:val="2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5362575" cy="4578350"/>
                  <wp:effectExtent l="0" t="0" r="9525" b="12700"/>
                  <wp:docPr id="30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2575" cy="457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每年对服务供应商的资质、参数覆盖范围、量传能力等方面进行评定，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外部提供服务的控制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有效。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51" w:type="dxa"/>
            <w:vAlign w:val="center"/>
          </w:tcPr>
          <w:p>
            <w:pPr>
              <w:rPr>
                <w:rFonts w:hint="eastAsia" w:ascii="楷体" w:hAnsi="楷体" w:eastAsia="楷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Cs w:val="21"/>
              </w:rPr>
              <w:t>生产和服务提供的控制</w:t>
            </w:r>
          </w:p>
        </w:tc>
        <w:tc>
          <w:tcPr>
            <w:tcW w:w="1169" w:type="dxa"/>
            <w:vAlign w:val="center"/>
          </w:tcPr>
          <w:p>
            <w:pPr>
              <w:rPr>
                <w:rFonts w:hint="default" w:ascii="楷体" w:hAnsi="楷体" w:eastAsia="楷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Q</w:t>
            </w:r>
            <w:r>
              <w:rPr>
                <w:rFonts w:hint="eastAsia"/>
                <w:color w:val="000000" w:themeColor="text1"/>
                <w:szCs w:val="21"/>
              </w:rPr>
              <w:t>8.5.1</w:t>
            </w:r>
          </w:p>
        </w:tc>
        <w:tc>
          <w:tcPr>
            <w:tcW w:w="10313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</w:rPr>
              <w:t>营销部</w:t>
            </w:r>
            <w:r>
              <w:rPr>
                <w:rFonts w:hint="eastAsia"/>
                <w:color w:val="000000" w:themeColor="text1"/>
                <w:szCs w:val="21"/>
              </w:rPr>
              <w:t>根据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项目的</w:t>
            </w:r>
            <w:r>
              <w:rPr>
                <w:rFonts w:hint="eastAsia"/>
                <w:color w:val="000000" w:themeColor="text1"/>
                <w:szCs w:val="21"/>
              </w:rPr>
              <w:t>需求，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购买需要的设备</w:t>
            </w:r>
            <w:r>
              <w:rPr>
                <w:rFonts w:hint="eastAsia"/>
                <w:color w:val="000000" w:themeColor="text1"/>
                <w:szCs w:val="21"/>
              </w:rPr>
              <w:t>，明确合同要求，在合同正式签定之前，进行合同评审，填写《合同评审记录》。签定合同之后，依据合同要求</w:t>
            </w:r>
            <w:r>
              <w:rPr>
                <w:rFonts w:hint="eastAsia"/>
                <w:color w:val="000000" w:themeColor="text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制定《采购计划》实施采购。</w:t>
            </w:r>
            <w:r>
              <w:rPr>
                <w:rFonts w:hint="eastAsia"/>
                <w:color w:val="000000" w:themeColor="text1"/>
                <w:szCs w:val="21"/>
              </w:rPr>
              <w:br w:type="textWrapping"/>
            </w:r>
            <w:r>
              <w:rPr>
                <w:rFonts w:hint="eastAsia"/>
                <w:color w:val="000000" w:themeColor="text1"/>
                <w:szCs w:val="21"/>
              </w:rPr>
              <w:t>查见该公司的《采购控制程序》、《销售和提供控制程序》等管理、作业及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  <w:szCs w:val="21"/>
              </w:rPr>
              <w:t>文件对服务提供过程进行</w:t>
            </w:r>
            <w:r>
              <w:rPr>
                <w:rFonts w:hint="eastAsia"/>
                <w:color w:val="000000" w:themeColor="text1"/>
                <w:szCs w:val="22"/>
              </w:rPr>
              <w:t>公司。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现场查看营销工作情况：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1.下发的作业文件随手可得。规范规定了服务提供特性和验收标准，合同的洽商、评定和签订，售后服务保证，客户投诉的处置以及销售人员的产品知识业务能力的要求。文件可以指导销售过程的进行。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2.资源配置齐备，设施设备可以满足要求。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eastAsia="宋体"/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</w:rPr>
              <w:t>3查看销售合同都进行了评审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；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4.提供有产品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  <w:szCs w:val="22"/>
              </w:rPr>
              <w:t>记录表、发货单、产品合格证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5.管理人员以及业务员、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检定校准</w:t>
            </w:r>
            <w:r>
              <w:rPr>
                <w:rFonts w:hint="eastAsia"/>
                <w:color w:val="000000" w:themeColor="text1"/>
                <w:szCs w:val="22"/>
              </w:rPr>
              <w:t>员、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售后服务</w:t>
            </w:r>
            <w:r>
              <w:rPr>
                <w:rFonts w:hint="eastAsia"/>
                <w:color w:val="000000" w:themeColor="text1"/>
                <w:szCs w:val="22"/>
              </w:rPr>
              <w:t>员都经过了培训，能力满足要求，无特种作业人员。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6</w:t>
            </w:r>
            <w:r>
              <w:rPr>
                <w:rFonts w:hint="eastAsia"/>
                <w:color w:val="000000" w:themeColor="text1"/>
                <w:szCs w:val="22"/>
              </w:rPr>
              <w:t>.制定了销售管理制度、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设备</w:t>
            </w:r>
            <w:r>
              <w:rPr>
                <w:rFonts w:hint="eastAsia"/>
                <w:color w:val="000000" w:themeColor="text1"/>
                <w:szCs w:val="22"/>
              </w:rPr>
              <w:t>搬运管理制度、仓库管理制度等，规定了操作的步骤、方法、注意事项等，操作人员直接按要求进行控制，防止人为错误。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7</w:t>
            </w:r>
            <w:r>
              <w:rPr>
                <w:rFonts w:hint="eastAsia"/>
                <w:color w:val="000000" w:themeColor="text1"/>
                <w:szCs w:val="22"/>
              </w:rPr>
              <w:t>.抽查“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售后</w:t>
            </w:r>
            <w:r>
              <w:rPr>
                <w:rFonts w:hint="eastAsia"/>
                <w:color w:val="000000" w:themeColor="text1"/>
                <w:szCs w:val="22"/>
              </w:rPr>
              <w:t>工作监督表”，20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20</w:t>
            </w:r>
            <w:r>
              <w:rPr>
                <w:rFonts w:hint="eastAsia"/>
                <w:color w:val="000000" w:themeColor="text1"/>
                <w:szCs w:val="22"/>
              </w:rPr>
              <w:t>年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3</w:t>
            </w:r>
            <w:r>
              <w:rPr>
                <w:rFonts w:hint="eastAsia"/>
                <w:color w:val="000000" w:themeColor="text1"/>
                <w:szCs w:val="22"/>
              </w:rPr>
              <w:t>月19日对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李妮</w:t>
            </w:r>
            <w:r>
              <w:rPr>
                <w:rFonts w:hint="eastAsia"/>
                <w:color w:val="000000" w:themeColor="text1"/>
                <w:szCs w:val="22"/>
              </w:rPr>
              <w:t>进行的工作监督，项目包括对价格了解情况，对性能了解情况，接听电话礼仪，对文件了解情况等，满分100分，检查评分96分，检查人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罗锦霞</w:t>
            </w:r>
            <w:r>
              <w:rPr>
                <w:rFonts w:hint="eastAsia"/>
                <w:color w:val="000000" w:themeColor="text1"/>
                <w:szCs w:val="22"/>
              </w:rPr>
              <w:t>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 xml:space="preserve"> 8、</w:t>
            </w:r>
            <w:r>
              <w:rPr>
                <w:rFonts w:hint="eastAsia"/>
                <w:color w:val="000000" w:themeColor="text1"/>
                <w:szCs w:val="22"/>
              </w:rPr>
              <w:t>所有的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仪器仪表</w:t>
            </w:r>
            <w:r>
              <w:rPr>
                <w:rFonts w:hint="eastAsia"/>
                <w:color w:val="000000" w:themeColor="text1"/>
                <w:szCs w:val="22"/>
              </w:rPr>
              <w:t>都必须经检验合格后方可入库和交付。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技术部</w:t>
            </w:r>
            <w:r>
              <w:rPr>
                <w:rFonts w:hint="eastAsia"/>
                <w:color w:val="000000" w:themeColor="text1"/>
                <w:szCs w:val="22"/>
              </w:rPr>
              <w:t>负责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设备</w:t>
            </w:r>
            <w:r>
              <w:rPr>
                <w:rFonts w:hint="eastAsia"/>
                <w:color w:val="000000" w:themeColor="text1"/>
                <w:szCs w:val="22"/>
              </w:rPr>
              <w:t>的检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校准</w:t>
            </w:r>
            <w:r>
              <w:rPr>
                <w:rFonts w:hint="eastAsia"/>
                <w:color w:val="000000" w:themeColor="text1"/>
                <w:szCs w:val="22"/>
              </w:rPr>
              <w:t>和放行，产品经过检验合格后方可放行和交付，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营销部</w:t>
            </w:r>
            <w:r>
              <w:rPr>
                <w:rFonts w:hint="eastAsia"/>
                <w:color w:val="000000" w:themeColor="text1"/>
                <w:szCs w:val="22"/>
              </w:rPr>
              <w:t>负责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计量设备</w:t>
            </w:r>
            <w:r>
              <w:rPr>
                <w:rFonts w:hint="eastAsia"/>
                <w:color w:val="000000" w:themeColor="text1"/>
                <w:szCs w:val="22"/>
              </w:rPr>
              <w:t>交付和交付后活动的实施，并负责联系售后服务。由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营销部</w:t>
            </w:r>
            <w:r>
              <w:rPr>
                <w:rFonts w:hint="eastAsia"/>
                <w:color w:val="000000" w:themeColor="text1"/>
                <w:szCs w:val="22"/>
              </w:rPr>
              <w:t>开具发货单(一式三份,留存一联、财务一联、客户一联)，随货同行有产品合格证，公司负责联系货运交付到指定地点，经查出库、交付手续齐全。售后服务由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营销部</w:t>
            </w:r>
            <w:r>
              <w:rPr>
                <w:rFonts w:hint="eastAsia"/>
                <w:color w:val="000000" w:themeColor="text1"/>
                <w:szCs w:val="22"/>
              </w:rPr>
              <w:t>业务员按照售后服务规范执行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</w:rPr>
              <w:t>产品标识和可追朔性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ascii="宋体" w:hAnsi="宋体" w:cs="Arial"/>
                <w:color w:val="000000" w:themeColor="text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Arial"/>
                <w:color w:val="000000" w:themeColor="text1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Arial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</w:rPr>
              <w:t>Q8.5.2</w:t>
            </w:r>
          </w:p>
        </w:tc>
        <w:tc>
          <w:tcPr>
            <w:tcW w:w="10313" w:type="dxa"/>
            <w:vAlign w:val="top"/>
          </w:tcPr>
          <w:p>
            <w:pPr>
              <w:spacing w:line="360" w:lineRule="auto"/>
              <w:ind w:firstLine="315" w:firstLineChars="15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在《管理手册》中规定公司向顾客提供</w:t>
            </w:r>
            <w:r>
              <w:rPr>
                <w:rFonts w:hint="eastAsia"/>
                <w:color w:val="000000" w:themeColor="text1"/>
                <w:lang w:val="en-US" w:eastAsia="zh-CN"/>
              </w:rPr>
              <w:t>检测报告</w:t>
            </w:r>
            <w:r>
              <w:rPr>
                <w:rFonts w:hint="eastAsia"/>
                <w:color w:val="000000" w:themeColor="text1"/>
              </w:rPr>
              <w:t>时采取适当措施，确保商品进入经营场所到销售过程中均被明确标识，对产品施加唯一性标识，如</w:t>
            </w:r>
            <w:r>
              <w:rPr>
                <w:rFonts w:hint="eastAsia"/>
                <w:color w:val="000000" w:themeColor="text1"/>
                <w:lang w:val="en-US" w:eastAsia="zh-CN"/>
              </w:rPr>
              <w:t>计量器具名称</w:t>
            </w:r>
            <w:r>
              <w:rPr>
                <w:rFonts w:hint="eastAsia"/>
                <w:color w:val="000000" w:themeColor="text1"/>
              </w:rPr>
              <w:t>、编号、日期，并予以登记，保留实现可追溯性所需的记录。产品通常保留厂家标签、合格证等方式对产品进行标识，产品附有“合格证”有产品名称、型号、日期、</w:t>
            </w:r>
            <w:r>
              <w:rPr>
                <w:rFonts w:hint="eastAsia"/>
                <w:color w:val="000000" w:themeColor="text1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</w:rPr>
              <w:t>人员代号等信息，可作为追溯性标识，同时可根据采购合同、销售合同，入厂检验记录等进行追溯。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</w:rPr>
              <w:t>经现场查验标识齐全、清晰、正确，产品标识管理基本符合标准要求，并满足实际需要。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951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4"/>
              </w:rPr>
              <w:t>顾客或外供方财产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ascii="楷体" w:hAnsi="楷体" w:eastAsia="楷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4"/>
              </w:rPr>
              <w:t>Q8.5.3</w:t>
            </w:r>
          </w:p>
          <w:p>
            <w:pPr>
              <w:spacing w:line="360" w:lineRule="auto"/>
              <w:rPr>
                <w:rFonts w:hint="eastAsia" w:ascii="楷体" w:hAnsi="楷体" w:eastAsia="楷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13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顾客或外部供方的财产包括：资质证明文件（如营业执照和其它资质文件）、银行账号、联系方式、经营地址及档案资料等信息，由部门专门人员负责管理，分类登记放置。未发生损坏丢失、泄密等现象。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产品防护</w:t>
            </w:r>
          </w:p>
        </w:tc>
        <w:tc>
          <w:tcPr>
            <w:tcW w:w="1169" w:type="dxa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Q8.5.4 </w:t>
            </w:r>
          </w:p>
        </w:tc>
        <w:tc>
          <w:tcPr>
            <w:tcW w:w="10313" w:type="dxa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公司对产品搬运、包装、贮存、运输以及交付等过程的防护实施控制：</w:t>
            </w:r>
          </w:p>
          <w:p>
            <w:pPr>
              <w:tabs>
                <w:tab w:val="left" w:pos="6597"/>
              </w:tabs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1、搬运：配置适宜的搬运工具，采用合理的搬运方法，对易损、危险物品制定专门的搬运指导书，搬运人员按要求执行，做好产品防护，防止丢失和损坏。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2、包装：包装人员核对产品合格证，保持产品外观清洁、完整，按装箱单核对装箱产品，包装后进行正确标识。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3、贮存：规范仓库管理，保持安全适宜的贮存环境，先进先出，建立台账，定期盘点，经常查看库存物品。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4、运输：用防震材料添紧，避免相互碰撞造成破损，对运输供方进行合格评定，签订运输合同，保证产品运输质量，并对运输质量进行记录，跟踪监督。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5、交付：产品交付防护延续到交付的目的地。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 公司自体系运行以来，未发生由于产品防护不当导致产品质量事故的情况，防护措施能够满足要求。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现场产品防护能够按照策划的要求实施，满足策划的要求。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951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顾客满意</w:t>
            </w:r>
          </w:p>
          <w:p>
            <w:pPr>
              <w:spacing w:line="360" w:lineRule="auto"/>
              <w:rPr>
                <w:rFonts w:hint="eastAsia" w:ascii="楷体" w:hAnsi="楷体" w:eastAsia="楷体" w:cs="Times New Roman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Q9.1.2</w:t>
            </w:r>
          </w:p>
        </w:tc>
        <w:tc>
          <w:tcPr>
            <w:tcW w:w="10313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公司已建立和保持了《顾客满意度测量控制程序》，对顾客满意的监测的相关内容进行了规定，其包括了对调查方式、渠道、内容、频率等。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公司采取对主要顾客进行满意度调查的形式，发出《客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满意度调查表》，有效回收：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抽查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重庆精塑料科技有限公司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，调查内容有：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项目审查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服务态度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服务质量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沟通理解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等，查《顾客满意程度调查表》，客户评价均是非常满意。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提供《顾客满意度统计分析表》，顾客满意率达到9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%，达到了质量目标的要求。</w:t>
            </w:r>
          </w:p>
          <w:p>
            <w:pPr>
              <w:spacing w:line="360" w:lineRule="auto"/>
              <w:ind w:firstLine="420" w:firstLineChars="200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调查未发现有顾客投诉。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顾客满意</w:t>
            </w:r>
          </w:p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环境因素</w:t>
            </w:r>
            <w:r>
              <w:rPr>
                <w:rFonts w:hint="eastAsia" w:ascii="楷体" w:hAnsi="楷体" w:eastAsia="楷体" w:cs="Arial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危险源辨识与评价</w:t>
            </w:r>
          </w:p>
          <w:p>
            <w:pPr>
              <w:spacing w:line="360" w:lineRule="auto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 w:cs="Arial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O：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 xml:space="preserve">6.1.2 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13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公司编制了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《环境因素识别与评价控制程序》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《危险源辨识和风险评价控制程序》。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查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营销部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的《环境因素识别评价表》，识别了本部门在办公、采购、销售、相关方等各有关过程的环境因素，包括水电消耗、办公纸张消耗、车辆尾气排放、废包装物排放等环境因素，能考虑生命周期观点。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查《危险源辨识及风险评价表》，识别了电脑辐射、触电、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运输汽车事故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等危险源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查《重要环境因素清单》，涉及本部门有2项重要环境因素，包括：固体废弃物的排放、火灾。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控制措施：固废分类存放、垃圾等由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办公室负责按规定处置，包装物分类卖掉，培训教育，配备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有消防器材、应急预案等措施。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查《不可接受风险清单》，涉及本部门的不可接受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风险，包括：触电和火灾。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危险源控制执行管理方案、配备消防器材、个体防护、日常检查、培训教育、应急预案等运行控制措施。</w:t>
            </w:r>
          </w:p>
          <w:p>
            <w:pPr>
              <w:snapToGrid w:val="0"/>
              <w:spacing w:line="360" w:lineRule="auto"/>
              <w:rPr>
                <w:rFonts w:hint="eastAsia" w:ascii="楷体" w:hAnsi="楷体" w:eastAsia="楷体" w:cs="楷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部门识别和评价基本充分，符合规定要求。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运行策划和控制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O：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8.1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031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2"/>
              </w:rPr>
              <w:t>编制并实施《应急准备和响应管理程序》、《安全管理程序》、《应急管理程序》、《防火管理程序》等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>环境、</w:t>
            </w:r>
            <w:r>
              <w:rPr>
                <w:rFonts w:hint="eastAsia" w:ascii="Times New Roman" w:hAnsi="Times New Roman" w:cs="Times New Roman"/>
                <w:szCs w:val="22"/>
              </w:rPr>
              <w:t>职业健康安全控制程序和管理制度。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2"/>
              </w:rPr>
              <w:t>本部门办公中所使用的办公用品均由公司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>综合</w:t>
            </w:r>
            <w:r>
              <w:rPr>
                <w:rFonts w:hint="eastAsia" w:ascii="Times New Roman" w:hAnsi="Times New Roman" w:cs="Times New Roman"/>
                <w:szCs w:val="22"/>
              </w:rPr>
              <w:t>办公室负责统一打印、复印，产生的废弃物，由办公室统一处理。对可回收的固体废弃物，一部分由厂家回收，厂家不回收的公司统一回收再利用或由物资回收公司处理，不可回收的废弃物由公司办公室统一处理，部门不单独处理。</w:t>
            </w:r>
          </w:p>
          <w:p>
            <w:pPr>
              <w:spacing w:line="360" w:lineRule="auto"/>
              <w:ind w:firstLine="210" w:firstLineChars="100"/>
              <w:rPr>
                <w:rFonts w:hint="eastAsia" w:ascii="Times New Roman" w:hAnsi="Times New Roman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2"/>
              </w:rPr>
              <w:t>办公室和仓库内主要是电的使用，电器有漏电保护器，经常对电路、电源进行检查，没有露电现象发生。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建立并实施了《相关方管理程序》，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对供应商施加影响还包括在评定供应商时，获取质量、环境、职业健康安全管理体系证书则优先，产品必须用环保无毒无害材料等措施。</w:t>
            </w:r>
          </w:p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/>
              </w:rPr>
              <w:t>部门运行控制基本符合策划要求。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应急准备和响应</w:t>
            </w:r>
          </w:p>
        </w:tc>
        <w:tc>
          <w:tcPr>
            <w:tcW w:w="1169" w:type="dxa"/>
            <w:vAlign w:val="center"/>
          </w:tcPr>
          <w:p>
            <w:pPr>
              <w:tabs>
                <w:tab w:val="left" w:pos="218"/>
              </w:tabs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O：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8.2、</w:t>
            </w:r>
          </w:p>
          <w:p>
            <w:pPr>
              <w:tabs>
                <w:tab w:val="left" w:pos="218"/>
              </w:tabs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031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制定实施了《应急准备和响应控制程序》，制定了火灾、触电应急预案。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20.3.20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日参加了由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行政部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组织的消防演练。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现场查看仓库有灭火器，状态有效。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部门未发生过应急事件。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r>
        <w:ptab w:relativeTo="margin" w:alignment="center" w:leader="none"/>
      </w:r>
    </w:p>
    <w:p/>
    <w:p/>
    <w:p>
      <w:pPr>
        <w:pStyle w:val="8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6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6"/>
        <w:rFonts w:hint="default"/>
      </w:rPr>
      <w:t>北京国标联合认证有限公司</w:t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</w:p>
  <w:p>
    <w:pPr>
      <w:pStyle w:val="9"/>
      <w:pBdr>
        <w:bottom w:val="none" w:color="auto" w:sz="0" w:space="1"/>
      </w:pBdr>
      <w:spacing w:line="320" w:lineRule="exact"/>
      <w:jc w:val="left"/>
    </w:pPr>
    <w:r>
      <w:pict>
        <v:shape id="文本框 1" o:spid="_x0000_s4097" o:spt="202" type="#_x0000_t202" style="position:absolute;left:0pt;margin-left:554.75pt;margin-top:2.2pt;height:20.2pt;width:172pt;z-index:251661312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D ISC-B-II-31管理体系审核记录表(03版)</w:t>
                </w:r>
              </w:p>
            </w:txbxContent>
          </v:textbox>
        </v:shape>
      </w:pict>
    </w:r>
    <w:r>
      <w:rPr>
        <w:rStyle w:val="16"/>
        <w:rFonts w:hint="default"/>
      </w:rPr>
      <w:t xml:space="preserve">        </w:t>
    </w:r>
    <w:r>
      <w:rPr>
        <w:rStyle w:val="16"/>
        <w:rFonts w:hint="default"/>
        <w:w w:val="90"/>
      </w:rPr>
      <w:t>Beijing International Standard united Certification Co.,Ltd.</w:t>
    </w:r>
    <w:r>
      <w:rPr>
        <w:rStyle w:val="16"/>
        <w:rFonts w:hint="default"/>
        <w:w w:val="90"/>
        <w:szCs w:val="21"/>
      </w:rPr>
      <w:t xml:space="preserve">  </w:t>
    </w:r>
    <w:r>
      <w:rPr>
        <w:rStyle w:val="16"/>
        <w:rFonts w:hint="default"/>
        <w:w w:val="90"/>
        <w:sz w:val="20"/>
      </w:rPr>
      <w:t xml:space="preserve"> </w:t>
    </w:r>
    <w:r>
      <w:rPr>
        <w:rStyle w:val="16"/>
        <w:rFonts w:hint="default"/>
        <w:w w:val="90"/>
      </w:rPr>
      <w:t xml:space="preserve">                   </w:t>
    </w:r>
  </w:p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73B4"/>
    <w:rsid w:val="00001E95"/>
    <w:rsid w:val="00032A72"/>
    <w:rsid w:val="0003373A"/>
    <w:rsid w:val="000A1249"/>
    <w:rsid w:val="000D06AF"/>
    <w:rsid w:val="00141F69"/>
    <w:rsid w:val="00151015"/>
    <w:rsid w:val="001A2D7F"/>
    <w:rsid w:val="001C1470"/>
    <w:rsid w:val="001D6B50"/>
    <w:rsid w:val="001F4540"/>
    <w:rsid w:val="00223BA4"/>
    <w:rsid w:val="00243882"/>
    <w:rsid w:val="00245A4F"/>
    <w:rsid w:val="002773AF"/>
    <w:rsid w:val="00280857"/>
    <w:rsid w:val="00284660"/>
    <w:rsid w:val="002A0B5B"/>
    <w:rsid w:val="002D023B"/>
    <w:rsid w:val="002E3E5B"/>
    <w:rsid w:val="002E43D2"/>
    <w:rsid w:val="00337922"/>
    <w:rsid w:val="003403D4"/>
    <w:rsid w:val="00340867"/>
    <w:rsid w:val="003468E2"/>
    <w:rsid w:val="003706AE"/>
    <w:rsid w:val="00380837"/>
    <w:rsid w:val="003D56C6"/>
    <w:rsid w:val="003E2EE9"/>
    <w:rsid w:val="00407AE2"/>
    <w:rsid w:val="00410914"/>
    <w:rsid w:val="004273E5"/>
    <w:rsid w:val="00524BC2"/>
    <w:rsid w:val="00536930"/>
    <w:rsid w:val="00541730"/>
    <w:rsid w:val="005537A3"/>
    <w:rsid w:val="00561442"/>
    <w:rsid w:val="00564E53"/>
    <w:rsid w:val="00567BA6"/>
    <w:rsid w:val="005748AF"/>
    <w:rsid w:val="00575289"/>
    <w:rsid w:val="005830C0"/>
    <w:rsid w:val="00583277"/>
    <w:rsid w:val="005A0BCF"/>
    <w:rsid w:val="005C4113"/>
    <w:rsid w:val="005F7A10"/>
    <w:rsid w:val="00627E58"/>
    <w:rsid w:val="006302B4"/>
    <w:rsid w:val="006373D8"/>
    <w:rsid w:val="00644FE2"/>
    <w:rsid w:val="00664C07"/>
    <w:rsid w:val="0067640C"/>
    <w:rsid w:val="00690215"/>
    <w:rsid w:val="006926AA"/>
    <w:rsid w:val="00695256"/>
    <w:rsid w:val="006B6C59"/>
    <w:rsid w:val="006E5C14"/>
    <w:rsid w:val="006E678B"/>
    <w:rsid w:val="006F5918"/>
    <w:rsid w:val="007610D4"/>
    <w:rsid w:val="007651FC"/>
    <w:rsid w:val="007757F3"/>
    <w:rsid w:val="007868DC"/>
    <w:rsid w:val="007873DB"/>
    <w:rsid w:val="00790B34"/>
    <w:rsid w:val="007B252B"/>
    <w:rsid w:val="007B7F3B"/>
    <w:rsid w:val="007D0F72"/>
    <w:rsid w:val="007E6AEB"/>
    <w:rsid w:val="00806D11"/>
    <w:rsid w:val="008102A5"/>
    <w:rsid w:val="00823AF0"/>
    <w:rsid w:val="008335A4"/>
    <w:rsid w:val="0088069D"/>
    <w:rsid w:val="00885E0F"/>
    <w:rsid w:val="0089001A"/>
    <w:rsid w:val="008949E9"/>
    <w:rsid w:val="008973EE"/>
    <w:rsid w:val="008A7726"/>
    <w:rsid w:val="0091791C"/>
    <w:rsid w:val="00943E40"/>
    <w:rsid w:val="009464A3"/>
    <w:rsid w:val="00957F46"/>
    <w:rsid w:val="00971600"/>
    <w:rsid w:val="009973B4"/>
    <w:rsid w:val="009C0423"/>
    <w:rsid w:val="009E17E1"/>
    <w:rsid w:val="009F3A73"/>
    <w:rsid w:val="009F7EED"/>
    <w:rsid w:val="00A11949"/>
    <w:rsid w:val="00A14992"/>
    <w:rsid w:val="00A4211D"/>
    <w:rsid w:val="00A67098"/>
    <w:rsid w:val="00AA5417"/>
    <w:rsid w:val="00AB69B9"/>
    <w:rsid w:val="00AC2F80"/>
    <w:rsid w:val="00AD1285"/>
    <w:rsid w:val="00AE2FB7"/>
    <w:rsid w:val="00AE31B0"/>
    <w:rsid w:val="00AF0AAB"/>
    <w:rsid w:val="00AF29CE"/>
    <w:rsid w:val="00B031F2"/>
    <w:rsid w:val="00B226B1"/>
    <w:rsid w:val="00B2785D"/>
    <w:rsid w:val="00B43768"/>
    <w:rsid w:val="00BB3F29"/>
    <w:rsid w:val="00BF597E"/>
    <w:rsid w:val="00C063BF"/>
    <w:rsid w:val="00C51A36"/>
    <w:rsid w:val="00C55228"/>
    <w:rsid w:val="00C60CC0"/>
    <w:rsid w:val="00C66B45"/>
    <w:rsid w:val="00C7541C"/>
    <w:rsid w:val="00C96BC5"/>
    <w:rsid w:val="00CA602F"/>
    <w:rsid w:val="00CD5AB9"/>
    <w:rsid w:val="00CE315A"/>
    <w:rsid w:val="00CF431E"/>
    <w:rsid w:val="00D0019C"/>
    <w:rsid w:val="00D061C9"/>
    <w:rsid w:val="00D06F59"/>
    <w:rsid w:val="00D25D77"/>
    <w:rsid w:val="00D63673"/>
    <w:rsid w:val="00D76F42"/>
    <w:rsid w:val="00D8388C"/>
    <w:rsid w:val="00DC6375"/>
    <w:rsid w:val="00E413AC"/>
    <w:rsid w:val="00E70F0E"/>
    <w:rsid w:val="00E8374D"/>
    <w:rsid w:val="00E90E1E"/>
    <w:rsid w:val="00E93546"/>
    <w:rsid w:val="00EA0A41"/>
    <w:rsid w:val="00EA6B1F"/>
    <w:rsid w:val="00EB0164"/>
    <w:rsid w:val="00EC2E60"/>
    <w:rsid w:val="00ED0F62"/>
    <w:rsid w:val="00ED4FA5"/>
    <w:rsid w:val="00F76B07"/>
    <w:rsid w:val="00FA0833"/>
    <w:rsid w:val="00FE0F91"/>
    <w:rsid w:val="012B3831"/>
    <w:rsid w:val="067F19DE"/>
    <w:rsid w:val="0A9428B3"/>
    <w:rsid w:val="108219C2"/>
    <w:rsid w:val="1759138E"/>
    <w:rsid w:val="20096C3B"/>
    <w:rsid w:val="36377D40"/>
    <w:rsid w:val="36EA37C0"/>
    <w:rsid w:val="3DDE2316"/>
    <w:rsid w:val="3F861E41"/>
    <w:rsid w:val="4C290448"/>
    <w:rsid w:val="4D414A18"/>
    <w:rsid w:val="55F725CE"/>
    <w:rsid w:val="59E746C4"/>
    <w:rsid w:val="5D0B0510"/>
    <w:rsid w:val="5EA12B9A"/>
    <w:rsid w:val="5F9F003B"/>
    <w:rsid w:val="62CC46A5"/>
    <w:rsid w:val="695B3D88"/>
    <w:rsid w:val="6EB61613"/>
    <w:rsid w:val="6F826A2C"/>
    <w:rsid w:val="758D3929"/>
    <w:rsid w:val="7A003333"/>
    <w:rsid w:val="7DB24C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tabs>
        <w:tab w:val="left" w:pos="3510"/>
        <w:tab w:val="left" w:pos="3585"/>
        <w:tab w:val="center" w:pos="4410"/>
        <w:tab w:val="left" w:pos="4620"/>
        <w:tab w:val="left" w:pos="4830"/>
        <w:tab w:val="left" w:pos="5580"/>
      </w:tabs>
      <w:outlineLvl w:val="1"/>
    </w:pPr>
    <w:rPr>
      <w:b/>
      <w:bCs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"/>
    <w:basedOn w:val="1"/>
    <w:qFormat/>
    <w:uiPriority w:val="0"/>
    <w:pPr>
      <w:tabs>
        <w:tab w:val="left" w:pos="0"/>
        <w:tab w:val="left" w:pos="180"/>
      </w:tabs>
      <w:spacing w:line="360" w:lineRule="auto"/>
      <w:jc w:val="left"/>
    </w:pPr>
    <w:rPr>
      <w:sz w:val="28"/>
    </w:rPr>
  </w:style>
  <w:style w:type="paragraph" w:styleId="5">
    <w:name w:val="Body Text Indent"/>
    <w:basedOn w:val="1"/>
    <w:link w:val="17"/>
    <w:unhideWhenUsed/>
    <w:qFormat/>
    <w:uiPriority w:val="0"/>
    <w:pPr>
      <w:ind w:firstLine="525" w:firstLineChars="210"/>
    </w:pPr>
    <w:rPr>
      <w:spacing w:val="20"/>
      <w:szCs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Char"/>
    <w:basedOn w:val="12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2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7">
    <w:name w:val="正文文本缩进 Char"/>
    <w:basedOn w:val="12"/>
    <w:link w:val="5"/>
    <w:qFormat/>
    <w:uiPriority w:val="0"/>
    <w:rPr>
      <w:rFonts w:ascii="Times New Roman" w:hAnsi="Times New Roman" w:eastAsia="宋体" w:cs="Times New Roman"/>
      <w:spacing w:val="20"/>
      <w:kern w:val="2"/>
      <w:sz w:val="21"/>
      <w:szCs w:val="24"/>
    </w:rPr>
  </w:style>
  <w:style w:type="paragraph" w:customStyle="1" w:styleId="18">
    <w:name w:val="_Style 2"/>
    <w:basedOn w:val="1"/>
    <w:qFormat/>
    <w:uiPriority w:val="34"/>
    <w:pPr>
      <w:widowControl/>
      <w:ind w:firstLine="420" w:firstLineChars="200"/>
      <w:jc w:val="left"/>
    </w:pPr>
    <w:rPr>
      <w:kern w:val="0"/>
      <w:sz w:val="20"/>
      <w:lang w:eastAsia="en-US"/>
    </w:rPr>
  </w:style>
  <w:style w:type="paragraph" w:customStyle="1" w:styleId="19">
    <w:name w:val="东方正文"/>
    <w:basedOn w:val="1"/>
    <w:qFormat/>
    <w:uiPriority w:val="0"/>
    <w:pPr>
      <w:spacing w:line="400" w:lineRule="exact"/>
      <w:ind w:left="284" w:right="284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1028</Characters>
  <Lines>8</Lines>
  <Paragraphs>2</Paragraphs>
  <TotalTime>2</TotalTime>
  <ScaleCrop>false</ScaleCrop>
  <LinksUpToDate>false</LinksUpToDate>
  <CharactersWithSpaces>1206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2020-08-09T04:42:41Z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